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drawing>
          <wp:anchor simplePos="0" relativeHeight="251657728" behindDoc="1" locked="0" layoutInCell="0" allowOverlap="1">
            <wp:simplePos x="0" y="0"/>
            <wp:positionH relativeFrom="page">
              <wp:posOffset>207645</wp:posOffset>
            </wp:positionH>
            <wp:positionV relativeFrom="page">
              <wp:posOffset>309245</wp:posOffset>
            </wp:positionV>
            <wp:extent cx="7134225"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342900</wp:posOffset>
            </wp:positionV>
            <wp:extent cx="713422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4225" cy="8255"/>
                    </a:xfrm>
                    <a:prstGeom prst="rect">
                      <a:avLst/>
                    </a:prstGeom>
                    <a:noFill/>
                  </pic:spPr>
                </pic:pic>
              </a:graphicData>
            </a:graphic>
          </wp:anchor>
        </w:drawing>
        <w:t>UNITED STATES</w:t>
      </w:r>
    </w:p>
    <w:p>
      <w:pPr>
        <w:spacing w:after="0" w:line="38"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t>SECURITIES AND EXCHANGE COMMISSION</w:t>
      </w:r>
    </w:p>
    <w:p>
      <w:pPr>
        <w:spacing w:after="0" w:line="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88"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28"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5"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1"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Short Form of Press Release</w:t>
      </w:r>
    </w:p>
    <w:p>
      <w:pPr>
        <w:spacing w:after="0" w:line="220"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11"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4"/>
          <w:szCs w:val="24"/>
          <w:b w:val="1"/>
          <w:bCs w:val="1"/>
          <w:color w:val="auto"/>
        </w:rPr>
        <w:t>BANCO LATINOAMERICANO DE COMERCIO EXTERIOR, S.A.</w:t>
      </w:r>
    </w:p>
    <w:p>
      <w:pPr>
        <w:spacing w:after="0" w:line="4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1"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35"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0"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5"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1"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1" w:lineRule="exact"/>
        <w:rPr>
          <w:sz w:val="24"/>
          <w:szCs w:val="24"/>
          <w:color w:val="auto"/>
        </w:rPr>
      </w:pPr>
    </w:p>
    <w:p>
      <w:pPr>
        <w:ind w:left="4640"/>
        <w:spacing w:after="0" w:line="207" w:lineRule="exact"/>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Form 40-F </w:t>
      </w:r>
      <w:r>
        <w:rPr>
          <w:rFonts w:ascii="MS PGothic" w:cs="MS PGothic" w:eastAsia="MS PGothic" w:hAnsi="MS PGothic"/>
          <w:sz w:val="18"/>
          <w:szCs w:val="18"/>
          <w:color w:val="auto"/>
        </w:rPr>
        <w:t>☐</w:t>
      </w:r>
    </w:p>
    <w:p>
      <w:pPr>
        <w:spacing w:after="0" w:line="249"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191" w:lineRule="exact"/>
        <w:rPr>
          <w:sz w:val="24"/>
          <w:szCs w:val="24"/>
          <w:color w:val="auto"/>
        </w:rPr>
      </w:pPr>
    </w:p>
    <w:p>
      <w:pPr>
        <w:ind w:left="5160"/>
        <w:spacing w:after="0" w:line="207" w:lineRule="exact"/>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49"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91" w:lineRule="exact"/>
        <w:rPr>
          <w:sz w:val="24"/>
          <w:szCs w:val="24"/>
          <w:color w:val="auto"/>
        </w:rPr>
      </w:pPr>
    </w:p>
    <w:p>
      <w:pPr>
        <w:ind w:left="5160"/>
        <w:spacing w:after="0" w:line="207" w:lineRule="exact"/>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169545</wp:posOffset>
            </wp:positionV>
            <wp:extent cx="713422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4225"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186690</wp:posOffset>
            </wp:positionV>
            <wp:extent cx="7134225"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635635</wp:posOffset>
            </wp:positionV>
            <wp:extent cx="713422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0139"/>
          </w:cols>
          <w:pgMar w:left="320" w:top="766"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4" w:lineRule="exact"/>
        <w:rPr>
          <w:sz w:val="20"/>
          <w:szCs w:val="20"/>
          <w:color w:val="auto"/>
        </w:rPr>
      </w:pPr>
    </w:p>
    <w:p>
      <w:pPr>
        <w:ind w:firstLine="640"/>
        <w:spacing w:after="0" w:line="277"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3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February 12, 2021</w:t>
      </w:r>
    </w:p>
    <w:p>
      <w:pPr>
        <w:spacing w:after="0" w:line="25" w:lineRule="exact"/>
        <w:rPr>
          <w:sz w:val="20"/>
          <w:szCs w:val="20"/>
          <w:color w:val="auto"/>
        </w:rPr>
      </w:pPr>
    </w:p>
    <w:p>
      <w:pPr>
        <w:ind w:left="450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6" w:lineRule="exact"/>
        <w:rPr>
          <w:sz w:val="20"/>
          <w:szCs w:val="20"/>
          <w:color w:val="auto"/>
        </w:rPr>
      </w:pPr>
    </w:p>
    <w:p>
      <w:pPr>
        <w:ind w:left="450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00" w:lineRule="exact"/>
        <w:rPr>
          <w:sz w:val="20"/>
          <w:szCs w:val="20"/>
          <w:color w:val="auto"/>
        </w:rPr>
      </w:pPr>
    </w:p>
    <w:p>
      <w:pPr>
        <w:spacing w:after="0" w:line="214"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3791585</wp:posOffset>
            </wp:positionH>
            <wp:positionV relativeFrom="paragraph">
              <wp:posOffset>15875</wp:posOffset>
            </wp:positionV>
            <wp:extent cx="334645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46450" cy="8255"/>
                    </a:xfrm>
                    <a:prstGeom prst="rect">
                      <a:avLst/>
                    </a:prstGeom>
                    <a:noFill/>
                  </pic:spPr>
                </pic:pic>
              </a:graphicData>
            </a:graphic>
          </wp:anchor>
        </w:drawing>
      </w:r>
    </w:p>
    <w:p>
      <w:pPr>
        <w:spacing w:after="0" w:line="200"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5"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427355</wp:posOffset>
            </wp:positionV>
            <wp:extent cx="713422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891"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444500</wp:posOffset>
            </wp:positionV>
            <wp:extent cx="7150735" cy="12877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150735" cy="12877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BLADEX ANNOUNCES 9% FOURTH QUARTER COMMERCIAL PORTFOLIO GROWTH</w:t>
      </w:r>
    </w:p>
    <w:p>
      <w:pPr>
        <w:spacing w:after="0" w:line="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AND QUARTERLY PROFIT OF $15.7 MILLION, OR $0.40 PER SHARE</w:t>
      </w:r>
    </w:p>
    <w:p>
      <w:pPr>
        <w:spacing w:after="0" w:line="19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PANAMA CITY, REPUBLIC OF PANAMA, February 12, 2021</w:t>
      </w:r>
    </w:p>
    <w:p>
      <w:pPr>
        <w:spacing w:after="0" w:line="220" w:lineRule="exact"/>
        <w:rPr>
          <w:sz w:val="20"/>
          <w:szCs w:val="20"/>
          <w:color w:val="auto"/>
        </w:rPr>
      </w:pPr>
    </w:p>
    <w:p>
      <w:pPr>
        <w:jc w:val="both"/>
        <w:spacing w:after="0" w:line="264" w:lineRule="auto"/>
        <w:rPr>
          <w:sz w:val="20"/>
          <w:szCs w:val="20"/>
          <w:color w:val="auto"/>
        </w:rPr>
      </w:pPr>
      <w:r>
        <w:rPr>
          <w:rFonts w:ascii="Times New Roman" w:cs="Times New Roman" w:eastAsia="Times New Roman" w:hAnsi="Times New Roman"/>
          <w:sz w:val="18"/>
          <w:szCs w:val="18"/>
          <w:b w:val="1"/>
          <w:bCs w:val="1"/>
          <w:color w:val="auto"/>
        </w:rPr>
        <w:t xml:space="preserve">Banco Latinoamericano de Comercio Exterior, S.A. </w:t>
      </w:r>
      <w:r>
        <w:rPr>
          <w:rFonts w:ascii="Times New Roman" w:cs="Times New Roman" w:eastAsia="Times New Roman" w:hAnsi="Times New Roman"/>
          <w:sz w:val="18"/>
          <w:szCs w:val="18"/>
          <w:color w:val="auto"/>
        </w:rPr>
        <w:t>(NYSE: BLX, “Bladex”, or “the Bank”), a Panama-based multinational bank originally established by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the central banks of 23 Latin-American and Caribbean countries to promote foreign trade and economic integration in the region, today announced its results for the Fourth Quarter (“4Q20”) and Full-Year (“FY20”) ended December 31, 2020.</w:t>
      </w:r>
    </w:p>
    <w:p>
      <w:pPr>
        <w:spacing w:after="0" w:line="175" w:lineRule="exact"/>
        <w:rPr>
          <w:sz w:val="20"/>
          <w:szCs w:val="20"/>
          <w:color w:val="auto"/>
        </w:rPr>
      </w:pPr>
    </w:p>
    <w:p>
      <w:pPr>
        <w:jc w:val="both"/>
        <w:spacing w:after="0" w:line="277" w:lineRule="auto"/>
        <w:rPr>
          <w:sz w:val="20"/>
          <w:szCs w:val="20"/>
          <w:color w:val="auto"/>
        </w:rPr>
      </w:pPr>
      <w:r>
        <w:rPr>
          <w:rFonts w:ascii="Times New Roman" w:cs="Times New Roman" w:eastAsia="Times New Roman" w:hAnsi="Times New Roman"/>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236"/>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FINANCIAL SNAPSHOT</w:t>
            </w: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08"/>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(US$ million, except percentages and</w:t>
            </w:r>
          </w:p>
        </w:tc>
        <w:tc>
          <w:tcPr>
            <w:tcW w:w="200" w:type="dxa"/>
            <w:vAlign w:val="bottom"/>
          </w:tcPr>
          <w:p>
            <w:pPr>
              <w:spacing w:after="0"/>
              <w:rPr>
                <w:sz w:val="24"/>
                <w:szCs w:val="24"/>
                <w:color w:val="auto"/>
              </w:rPr>
            </w:pPr>
          </w:p>
        </w:tc>
        <w:tc>
          <w:tcPr>
            <w:tcW w:w="780" w:type="dxa"/>
            <w:vAlign w:val="bottom"/>
            <w:vMerge w:val="restart"/>
          </w:tcPr>
          <w:p>
            <w:pPr>
              <w:jc w:val="right"/>
              <w:ind w:right="231"/>
              <w:spacing w:after="0"/>
              <w:rPr>
                <w:sz w:val="20"/>
                <w:szCs w:val="20"/>
                <w:color w:val="auto"/>
              </w:rPr>
            </w:pPr>
            <w:r>
              <w:rPr>
                <w:rFonts w:ascii="Times New Roman" w:cs="Times New Roman" w:eastAsia="Times New Roman" w:hAnsi="Times New Roman"/>
                <w:sz w:val="18"/>
                <w:szCs w:val="18"/>
                <w:b w:val="1"/>
                <w:bCs w:val="1"/>
                <w:color w:val="auto"/>
              </w:rPr>
              <w:t>2020</w:t>
            </w: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80" w:type="dxa"/>
            <w:vAlign w:val="bottom"/>
            <w:vMerge w:val="restart"/>
          </w:tcPr>
          <w:p>
            <w:pPr>
              <w:jc w:val="right"/>
              <w:ind w:right="231"/>
              <w:spacing w:after="0"/>
              <w:rPr>
                <w:sz w:val="20"/>
                <w:szCs w:val="20"/>
                <w:color w:val="auto"/>
              </w:rPr>
            </w:pPr>
            <w:r>
              <w:rPr>
                <w:rFonts w:ascii="Times New Roman" w:cs="Times New Roman" w:eastAsia="Times New Roman" w:hAnsi="Times New Roman"/>
                <w:sz w:val="18"/>
                <w:szCs w:val="18"/>
                <w:b w:val="1"/>
                <w:bCs w:val="1"/>
                <w:color w:val="auto"/>
              </w:rPr>
              <w:t>2019</w:t>
            </w: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gridSpan w:val="2"/>
            <w:vMerge w:val="restart"/>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4Q20</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gridSpan w:val="2"/>
            <w:vMerge w:val="restart"/>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3Q20</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60" w:type="dxa"/>
            <w:vAlign w:val="bottom"/>
            <w:gridSpan w:val="2"/>
            <w:vMerge w:val="restart"/>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4Q19</w:t>
            </w:r>
          </w:p>
        </w:tc>
        <w:tc>
          <w:tcPr>
            <w:tcW w:w="0" w:type="dxa"/>
            <w:vAlign w:val="bottom"/>
          </w:tcPr>
          <w:p>
            <w:pPr>
              <w:spacing w:after="0"/>
              <w:rPr>
                <w:sz w:val="1"/>
                <w:szCs w:val="1"/>
                <w:color w:val="auto"/>
              </w:rPr>
            </w:pPr>
          </w:p>
        </w:tc>
      </w:tr>
      <w:tr>
        <w:trPr>
          <w:trHeight w:val="232"/>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per share amounts)</w:t>
            </w:r>
          </w:p>
        </w:tc>
        <w:tc>
          <w:tcPr>
            <w:tcW w:w="200" w:type="dxa"/>
            <w:vAlign w:val="bottom"/>
          </w:tcPr>
          <w:p>
            <w:pPr>
              <w:spacing w:after="0"/>
              <w:rPr>
                <w:sz w:val="20"/>
                <w:szCs w:val="20"/>
                <w:color w:val="auto"/>
              </w:rPr>
            </w:pPr>
          </w:p>
        </w:tc>
        <w:tc>
          <w:tcPr>
            <w:tcW w:w="780" w:type="dxa"/>
            <w:vAlign w:val="bottom"/>
            <w:vMerge w:val="continue"/>
          </w:tcPr>
          <w:p>
            <w:pPr>
              <w:spacing w:after="0"/>
              <w:rPr>
                <w:sz w:val="20"/>
                <w:szCs w:val="20"/>
                <w:color w:val="auto"/>
              </w:rPr>
            </w:pP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vMerge w:val="continue"/>
          </w:tcPr>
          <w:p>
            <w:pPr>
              <w:spacing w:after="0"/>
              <w:rPr>
                <w:sz w:val="20"/>
                <w:szCs w:val="20"/>
                <w:color w:val="auto"/>
              </w:rPr>
            </w:pPr>
          </w:p>
        </w:tc>
        <w:tc>
          <w:tcPr>
            <w:tcW w:w="2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2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07"/>
        </w:trPr>
        <w:tc>
          <w:tcPr>
            <w:tcW w:w="482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Key Income Statement Highlights</w:t>
            </w:r>
          </w:p>
        </w:tc>
        <w:tc>
          <w:tcPr>
            <w:tcW w:w="2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78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78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Net Interest Income (“NII”)</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92.5</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109.5</w:t>
            </w:r>
          </w:p>
        </w:tc>
        <w:tc>
          <w:tcPr>
            <w:tcW w:w="200" w:type="dxa"/>
            <w:vAlign w:val="bottom"/>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22.3</w:t>
            </w:r>
          </w:p>
        </w:tc>
        <w:tc>
          <w:tcPr>
            <w:tcW w:w="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22.6</w:t>
            </w:r>
          </w:p>
        </w:tc>
        <w:tc>
          <w:tcPr>
            <w:tcW w:w="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26.9</w:t>
            </w:r>
          </w:p>
        </w:tc>
        <w:tc>
          <w:tcPr>
            <w:tcW w:w="0" w:type="dxa"/>
            <w:vAlign w:val="bottom"/>
          </w:tcPr>
          <w:p>
            <w:pPr>
              <w:spacing w:after="0"/>
              <w:rPr>
                <w:sz w:val="1"/>
                <w:szCs w:val="1"/>
                <w:color w:val="auto"/>
              </w:rPr>
            </w:pPr>
          </w:p>
        </w:tc>
      </w:tr>
      <w:tr>
        <w:trPr>
          <w:trHeight w:val="213"/>
        </w:trPr>
        <w:tc>
          <w:tcPr>
            <w:tcW w:w="50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Fees and commissions, net</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10.4</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15.6</w:t>
            </w:r>
          </w:p>
        </w:tc>
        <w:tc>
          <w:tcPr>
            <w:tcW w:w="20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2.8</w:t>
            </w:r>
          </w:p>
        </w:tc>
        <w:tc>
          <w:tcPr>
            <w:tcW w:w="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2.6</w:t>
            </w:r>
          </w:p>
        </w:tc>
        <w:tc>
          <w:tcPr>
            <w:tcW w:w="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5.4</w:t>
            </w:r>
          </w:p>
        </w:tc>
        <w:tc>
          <w:tcPr>
            <w:tcW w:w="0" w:type="dxa"/>
            <w:vAlign w:val="bottom"/>
          </w:tcPr>
          <w:p>
            <w:pPr>
              <w:spacing w:after="0"/>
              <w:rPr>
                <w:sz w:val="1"/>
                <w:szCs w:val="1"/>
                <w:color w:val="auto"/>
              </w:rPr>
            </w:pPr>
          </w:p>
        </w:tc>
      </w:tr>
      <w:tr>
        <w:trPr>
          <w:trHeight w:val="213"/>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Loss on financial instruments, net</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(4.8)</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(1.4)</w:t>
            </w:r>
          </w:p>
        </w:tc>
        <w:tc>
          <w:tcPr>
            <w:tcW w:w="200" w:type="dxa"/>
            <w:vAlign w:val="bottom"/>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(0.1)</w:t>
            </w:r>
          </w:p>
        </w:tc>
        <w:tc>
          <w:tcPr>
            <w:tcW w:w="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(0.4)</w:t>
            </w:r>
          </w:p>
        </w:tc>
        <w:tc>
          <w:tcPr>
            <w:tcW w:w="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(2.0)</w:t>
            </w:r>
          </w:p>
        </w:tc>
        <w:tc>
          <w:tcPr>
            <w:tcW w:w="0" w:type="dxa"/>
            <w:vAlign w:val="bottom"/>
          </w:tcPr>
          <w:p>
            <w:pPr>
              <w:spacing w:after="0"/>
              <w:rPr>
                <w:sz w:val="1"/>
                <w:szCs w:val="1"/>
                <w:color w:val="auto"/>
              </w:rPr>
            </w:pPr>
          </w:p>
        </w:tc>
      </w:tr>
      <w:tr>
        <w:trPr>
          <w:trHeight w:val="213"/>
        </w:trPr>
        <w:tc>
          <w:tcPr>
            <w:tcW w:w="50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revenues</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99.2</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126.7</w:t>
            </w:r>
          </w:p>
        </w:tc>
        <w:tc>
          <w:tcPr>
            <w:tcW w:w="20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25.3</w:t>
            </w:r>
          </w:p>
        </w:tc>
        <w:tc>
          <w:tcPr>
            <w:tcW w:w="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25.2</w:t>
            </w:r>
          </w:p>
        </w:tc>
        <w:tc>
          <w:tcPr>
            <w:tcW w:w="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31.4</w:t>
            </w:r>
          </w:p>
        </w:tc>
        <w:tc>
          <w:tcPr>
            <w:tcW w:w="0" w:type="dxa"/>
            <w:vAlign w:val="bottom"/>
          </w:tcPr>
          <w:p>
            <w:pPr>
              <w:spacing w:after="0"/>
              <w:rPr>
                <w:sz w:val="1"/>
                <w:szCs w:val="1"/>
                <w:color w:val="auto"/>
              </w:rPr>
            </w:pPr>
          </w:p>
        </w:tc>
      </w:tr>
      <w:tr>
        <w:trPr>
          <w:trHeight w:val="213"/>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Reversal (provision) for credit losses</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1.5</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(0.4)</w:t>
            </w:r>
          </w:p>
        </w:tc>
        <w:tc>
          <w:tcPr>
            <w:tcW w:w="200" w:type="dxa"/>
            <w:vAlign w:val="bottom"/>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0.3</w:t>
            </w:r>
          </w:p>
        </w:tc>
        <w:tc>
          <w:tcPr>
            <w:tcW w:w="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(1.5)</w:t>
            </w:r>
          </w:p>
        </w:tc>
        <w:tc>
          <w:tcPr>
            <w:tcW w:w="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1.9</w:t>
            </w:r>
          </w:p>
        </w:tc>
        <w:tc>
          <w:tcPr>
            <w:tcW w:w="0" w:type="dxa"/>
            <w:vAlign w:val="bottom"/>
          </w:tcPr>
          <w:p>
            <w:pPr>
              <w:spacing w:after="0"/>
              <w:rPr>
                <w:sz w:val="1"/>
                <w:szCs w:val="1"/>
                <w:color w:val="auto"/>
              </w:rPr>
            </w:pPr>
          </w:p>
        </w:tc>
      </w:tr>
      <w:tr>
        <w:trPr>
          <w:trHeight w:val="213"/>
        </w:trPr>
        <w:tc>
          <w:tcPr>
            <w:tcW w:w="50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(37.3)</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(40.7)</w:t>
            </w:r>
          </w:p>
        </w:tc>
        <w:tc>
          <w:tcPr>
            <w:tcW w:w="20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(10.2)</w:t>
            </w:r>
          </w:p>
        </w:tc>
        <w:tc>
          <w:tcPr>
            <w:tcW w:w="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(8.3)</w:t>
            </w:r>
          </w:p>
        </w:tc>
        <w:tc>
          <w:tcPr>
            <w:tcW w:w="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(11.3)</w:t>
            </w:r>
          </w:p>
        </w:tc>
        <w:tc>
          <w:tcPr>
            <w:tcW w:w="0" w:type="dxa"/>
            <w:vAlign w:val="bottom"/>
          </w:tcPr>
          <w:p>
            <w:pPr>
              <w:spacing w:after="0"/>
              <w:rPr>
                <w:sz w:val="1"/>
                <w:szCs w:val="1"/>
                <w:color w:val="auto"/>
              </w:rPr>
            </w:pPr>
          </w:p>
        </w:tc>
      </w:tr>
      <w:tr>
        <w:trPr>
          <w:trHeight w:val="213"/>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Profit for the period</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63.6</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86.1</w:t>
            </w:r>
          </w:p>
        </w:tc>
        <w:tc>
          <w:tcPr>
            <w:tcW w:w="200" w:type="dxa"/>
            <w:vAlign w:val="bottom"/>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15.7</w:t>
            </w:r>
          </w:p>
        </w:tc>
        <w:tc>
          <w:tcPr>
            <w:tcW w:w="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15.4</w:t>
            </w:r>
          </w:p>
        </w:tc>
        <w:tc>
          <w:tcPr>
            <w:tcW w:w="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22.1</w:t>
            </w:r>
          </w:p>
        </w:tc>
        <w:tc>
          <w:tcPr>
            <w:tcW w:w="0" w:type="dxa"/>
            <w:vAlign w:val="bottom"/>
          </w:tcPr>
          <w:p>
            <w:pPr>
              <w:spacing w:after="0"/>
              <w:rPr>
                <w:sz w:val="1"/>
                <w:szCs w:val="1"/>
                <w:color w:val="auto"/>
              </w:rPr>
            </w:pPr>
          </w:p>
        </w:tc>
      </w:tr>
      <w:tr>
        <w:trPr>
          <w:trHeight w:val="213"/>
        </w:trPr>
        <w:tc>
          <w:tcPr>
            <w:tcW w:w="50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Profitability Ratios</w:t>
            </w:r>
          </w:p>
        </w:tc>
        <w:tc>
          <w:tcPr>
            <w:tcW w:w="2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4"/>
        </w:trPr>
        <w:tc>
          <w:tcPr>
            <w:tcW w:w="5040" w:type="dxa"/>
            <w:vAlign w:val="bottom"/>
            <w:gridSpan w:val="2"/>
          </w:tcPr>
          <w:p>
            <w:pPr>
              <w:spacing w:after="0" w:line="253" w:lineRule="exact"/>
              <w:rPr>
                <w:sz w:val="20"/>
                <w:szCs w:val="20"/>
                <w:color w:val="auto"/>
              </w:rPr>
            </w:pPr>
            <w:r>
              <w:rPr>
                <w:rFonts w:ascii="Times New Roman" w:cs="Times New Roman" w:eastAsia="Times New Roman" w:hAnsi="Times New Roman"/>
                <w:sz w:val="18"/>
                <w:szCs w:val="18"/>
                <w:color w:val="auto"/>
              </w:rPr>
              <w:t xml:space="preserve">Earnings per Share (“EPS”) </w:t>
            </w:r>
            <w:r>
              <w:rPr>
                <w:rFonts w:ascii="Times New Roman" w:cs="Times New Roman" w:eastAsia="Times New Roman" w:hAnsi="Times New Roman"/>
                <w:sz w:val="29"/>
                <w:szCs w:val="29"/>
                <w:color w:val="auto"/>
                <w:vertAlign w:val="superscript"/>
              </w:rPr>
              <w:t>(1)</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1.60</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2.17</w:t>
            </w:r>
          </w:p>
        </w:tc>
        <w:tc>
          <w:tcPr>
            <w:tcW w:w="200" w:type="dxa"/>
            <w:vAlign w:val="bottom"/>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0.40</w:t>
            </w:r>
          </w:p>
        </w:tc>
        <w:tc>
          <w:tcPr>
            <w:tcW w:w="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0.39</w:t>
            </w:r>
          </w:p>
        </w:tc>
        <w:tc>
          <w:tcPr>
            <w:tcW w:w="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0.56</w:t>
            </w:r>
          </w:p>
        </w:tc>
        <w:tc>
          <w:tcPr>
            <w:tcW w:w="0" w:type="dxa"/>
            <w:vAlign w:val="bottom"/>
          </w:tcPr>
          <w:p>
            <w:pPr>
              <w:spacing w:after="0"/>
              <w:rPr>
                <w:sz w:val="1"/>
                <w:szCs w:val="1"/>
                <w:color w:val="auto"/>
              </w:rPr>
            </w:pP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Return on Average Equity (“ROAE”) </w:t>
            </w:r>
            <w:r>
              <w:rPr>
                <w:rFonts w:ascii="Times New Roman" w:cs="Times New Roman" w:eastAsia="Times New Roman" w:hAnsi="Times New Roman"/>
                <w:sz w:val="29"/>
                <w:szCs w:val="29"/>
                <w:color w:val="auto"/>
                <w:vertAlign w:val="superscript"/>
              </w:rPr>
              <w:t>(2)</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6.2%</w:t>
            </w:r>
          </w:p>
        </w:tc>
        <w:tc>
          <w:tcPr>
            <w:tcW w:w="2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8.6%</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6.1%</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6.0%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8.7%</w:t>
            </w:r>
          </w:p>
        </w:tc>
        <w:tc>
          <w:tcPr>
            <w:tcW w:w="0" w:type="dxa"/>
            <w:vAlign w:val="bottom"/>
          </w:tcPr>
          <w:p>
            <w:pPr>
              <w:spacing w:after="0"/>
              <w:rPr>
                <w:sz w:val="1"/>
                <w:szCs w:val="1"/>
                <w:color w:val="auto"/>
              </w:rPr>
            </w:pPr>
          </w:p>
        </w:tc>
      </w:tr>
      <w:tr>
        <w:trPr>
          <w:trHeight w:val="213"/>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Return on Average Assets (“ROAA”)</w:t>
            </w:r>
          </w:p>
        </w:tc>
        <w:tc>
          <w:tcPr>
            <w:tcW w:w="20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1.0%</w:t>
            </w:r>
          </w:p>
        </w:tc>
        <w:tc>
          <w:tcPr>
            <w:tcW w:w="20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1.4%</w:t>
            </w: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1.0%</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1.3%</w:t>
            </w:r>
          </w:p>
        </w:tc>
        <w:tc>
          <w:tcPr>
            <w:tcW w:w="0" w:type="dxa"/>
            <w:vAlign w:val="bottom"/>
          </w:tcPr>
          <w:p>
            <w:pPr>
              <w:spacing w:after="0"/>
              <w:rPr>
                <w:sz w:val="1"/>
                <w:szCs w:val="1"/>
                <w:color w:val="auto"/>
              </w:rPr>
            </w:pP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Net Interest Margin (“NIM”) </w:t>
            </w:r>
            <w:r>
              <w:rPr>
                <w:rFonts w:ascii="Times New Roman" w:cs="Times New Roman" w:eastAsia="Times New Roman" w:hAnsi="Times New Roman"/>
                <w:sz w:val="29"/>
                <w:szCs w:val="29"/>
                <w:color w:val="auto"/>
                <w:vertAlign w:val="superscript"/>
              </w:rPr>
              <w:t>(3)</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1.41%</w:t>
            </w:r>
          </w:p>
        </w:tc>
        <w:tc>
          <w:tcPr>
            <w:tcW w:w="2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1.74%</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1.37%</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1.42%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1.65%</w:t>
            </w:r>
          </w:p>
        </w:tc>
        <w:tc>
          <w:tcPr>
            <w:tcW w:w="0" w:type="dxa"/>
            <w:vAlign w:val="bottom"/>
          </w:tcPr>
          <w:p>
            <w:pPr>
              <w:spacing w:after="0"/>
              <w:rPr>
                <w:sz w:val="1"/>
                <w:szCs w:val="1"/>
                <w:color w:val="auto"/>
              </w:rPr>
            </w:pPr>
          </w:p>
        </w:tc>
      </w:tr>
      <w:tr>
        <w:trPr>
          <w:trHeight w:val="254"/>
        </w:trPr>
        <w:tc>
          <w:tcPr>
            <w:tcW w:w="5040" w:type="dxa"/>
            <w:vAlign w:val="bottom"/>
            <w:gridSpan w:val="2"/>
          </w:tcPr>
          <w:p>
            <w:pPr>
              <w:spacing w:after="0" w:line="253" w:lineRule="exact"/>
              <w:rPr>
                <w:sz w:val="20"/>
                <w:szCs w:val="20"/>
                <w:color w:val="auto"/>
              </w:rPr>
            </w:pPr>
            <w:r>
              <w:rPr>
                <w:rFonts w:ascii="Times New Roman" w:cs="Times New Roman" w:eastAsia="Times New Roman" w:hAnsi="Times New Roman"/>
                <w:sz w:val="18"/>
                <w:szCs w:val="18"/>
                <w:color w:val="auto"/>
              </w:rPr>
              <w:t xml:space="preserve">Net Interest Spread (“NIS”) </w:t>
            </w:r>
            <w:r>
              <w:rPr>
                <w:rFonts w:ascii="Times New Roman" w:cs="Times New Roman" w:eastAsia="Times New Roman" w:hAnsi="Times New Roman"/>
                <w:sz w:val="29"/>
                <w:szCs w:val="29"/>
                <w:color w:val="auto"/>
                <w:vertAlign w:val="superscript"/>
              </w:rPr>
              <w:t>(4)</w:t>
            </w:r>
          </w:p>
        </w:tc>
        <w:tc>
          <w:tcPr>
            <w:tcW w:w="200" w:type="dxa"/>
            <w:vAlign w:val="bottom"/>
          </w:tcPr>
          <w:p>
            <w:pPr>
              <w:spacing w:after="0"/>
              <w:rPr>
                <w:sz w:val="22"/>
                <w:szCs w:val="22"/>
                <w:color w:val="auto"/>
              </w:rPr>
            </w:pPr>
          </w:p>
        </w:tc>
        <w:tc>
          <w:tcPr>
            <w:tcW w:w="10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1.13%</w:t>
            </w:r>
          </w:p>
        </w:tc>
        <w:tc>
          <w:tcPr>
            <w:tcW w:w="200" w:type="dxa"/>
            <w:vAlign w:val="bottom"/>
          </w:tcPr>
          <w:p>
            <w:pPr>
              <w:spacing w:after="0"/>
              <w:rPr>
                <w:sz w:val="22"/>
                <w:szCs w:val="22"/>
                <w:color w:val="auto"/>
              </w:rPr>
            </w:pPr>
          </w:p>
        </w:tc>
        <w:tc>
          <w:tcPr>
            <w:tcW w:w="10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1.19%</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1.17%</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1.19%</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1.18%</w:t>
            </w:r>
          </w:p>
        </w:tc>
        <w:tc>
          <w:tcPr>
            <w:tcW w:w="0" w:type="dxa"/>
            <w:vAlign w:val="bottom"/>
          </w:tcPr>
          <w:p>
            <w:pPr>
              <w:spacing w:after="0"/>
              <w:rPr>
                <w:sz w:val="1"/>
                <w:szCs w:val="1"/>
                <w:color w:val="auto"/>
              </w:rPr>
            </w:pP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Efficiency Ratio </w:t>
            </w:r>
            <w:r>
              <w:rPr>
                <w:rFonts w:ascii="Times New Roman" w:cs="Times New Roman" w:eastAsia="Times New Roman" w:hAnsi="Times New Roman"/>
                <w:sz w:val="29"/>
                <w:szCs w:val="29"/>
                <w:color w:val="auto"/>
                <w:vertAlign w:val="superscript"/>
              </w:rPr>
              <w:t>(5)</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37.6%</w:t>
            </w:r>
          </w:p>
        </w:tc>
        <w:tc>
          <w:tcPr>
            <w:tcW w:w="2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32.1%</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40.2%</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33.1%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35.9%</w:t>
            </w:r>
          </w:p>
        </w:tc>
        <w:tc>
          <w:tcPr>
            <w:tcW w:w="0" w:type="dxa"/>
            <w:vAlign w:val="bottom"/>
          </w:tcPr>
          <w:p>
            <w:pPr>
              <w:spacing w:after="0"/>
              <w:rPr>
                <w:sz w:val="1"/>
                <w:szCs w:val="1"/>
                <w:color w:val="auto"/>
              </w:rPr>
            </w:pPr>
          </w:p>
        </w:tc>
      </w:tr>
      <w:tr>
        <w:trPr>
          <w:trHeight w:val="213"/>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Assets, Capital, Liquidity &amp; Credit Quality</w:t>
            </w:r>
          </w:p>
        </w:tc>
        <w:tc>
          <w:tcPr>
            <w:tcW w:w="2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Credit Portfolio </w:t>
            </w:r>
            <w:r>
              <w:rPr>
                <w:rFonts w:ascii="Times New Roman" w:cs="Times New Roman" w:eastAsia="Times New Roman" w:hAnsi="Times New Roman"/>
                <w:sz w:val="29"/>
                <w:szCs w:val="29"/>
                <w:color w:val="auto"/>
                <w:vertAlign w:val="superscript"/>
              </w:rPr>
              <w:t>(6)</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5,946</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6,582</w:t>
            </w:r>
          </w:p>
        </w:tc>
        <w:tc>
          <w:tcPr>
            <w:tcW w:w="20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5,946</w:t>
            </w:r>
          </w:p>
        </w:tc>
        <w:tc>
          <w:tcPr>
            <w:tcW w:w="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5,320</w:t>
            </w:r>
          </w:p>
        </w:tc>
        <w:tc>
          <w:tcPr>
            <w:tcW w:w="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6,582</w:t>
            </w:r>
          </w:p>
        </w:tc>
        <w:tc>
          <w:tcPr>
            <w:tcW w:w="0" w:type="dxa"/>
            <w:vAlign w:val="bottom"/>
          </w:tcPr>
          <w:p>
            <w:pPr>
              <w:spacing w:after="0"/>
              <w:rPr>
                <w:sz w:val="1"/>
                <w:szCs w:val="1"/>
                <w:color w:val="auto"/>
              </w:rPr>
            </w:pPr>
          </w:p>
        </w:tc>
      </w:tr>
      <w:tr>
        <w:trPr>
          <w:trHeight w:val="254"/>
        </w:trPr>
        <w:tc>
          <w:tcPr>
            <w:tcW w:w="5040" w:type="dxa"/>
            <w:vAlign w:val="bottom"/>
            <w:gridSpan w:val="2"/>
          </w:tcPr>
          <w:p>
            <w:pPr>
              <w:spacing w:after="0" w:line="253" w:lineRule="exact"/>
              <w:rPr>
                <w:sz w:val="20"/>
                <w:szCs w:val="20"/>
                <w:color w:val="auto"/>
              </w:rPr>
            </w:pPr>
            <w:r>
              <w:rPr>
                <w:rFonts w:ascii="Times New Roman" w:cs="Times New Roman" w:eastAsia="Times New Roman" w:hAnsi="Times New Roman"/>
                <w:sz w:val="18"/>
                <w:szCs w:val="18"/>
                <w:color w:val="auto"/>
              </w:rPr>
              <w:t xml:space="preserve">Commercial Portfolio </w:t>
            </w:r>
            <w:r>
              <w:rPr>
                <w:rFonts w:ascii="Times New Roman" w:cs="Times New Roman" w:eastAsia="Times New Roman" w:hAnsi="Times New Roman"/>
                <w:sz w:val="29"/>
                <w:szCs w:val="29"/>
                <w:color w:val="auto"/>
                <w:vertAlign w:val="superscript"/>
              </w:rPr>
              <w:t>(7)</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5,551</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6,502</w:t>
            </w:r>
          </w:p>
        </w:tc>
        <w:tc>
          <w:tcPr>
            <w:tcW w:w="200" w:type="dxa"/>
            <w:vAlign w:val="bottom"/>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5,551</w:t>
            </w:r>
          </w:p>
        </w:tc>
        <w:tc>
          <w:tcPr>
            <w:tcW w:w="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5,087</w:t>
            </w:r>
          </w:p>
        </w:tc>
        <w:tc>
          <w:tcPr>
            <w:tcW w:w="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6,502</w:t>
            </w:r>
          </w:p>
        </w:tc>
        <w:tc>
          <w:tcPr>
            <w:tcW w:w="0" w:type="dxa"/>
            <w:vAlign w:val="bottom"/>
          </w:tcPr>
          <w:p>
            <w:pPr>
              <w:spacing w:after="0"/>
              <w:rPr>
                <w:sz w:val="1"/>
                <w:szCs w:val="1"/>
                <w:color w:val="auto"/>
              </w:rPr>
            </w:pPr>
          </w:p>
        </w:tc>
      </w:tr>
      <w:tr>
        <w:trPr>
          <w:trHeight w:val="213"/>
        </w:trPr>
        <w:tc>
          <w:tcPr>
            <w:tcW w:w="50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Investment Portfolio</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395</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80</w:t>
            </w:r>
          </w:p>
        </w:tc>
        <w:tc>
          <w:tcPr>
            <w:tcW w:w="20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395</w:t>
            </w:r>
          </w:p>
        </w:tc>
        <w:tc>
          <w:tcPr>
            <w:tcW w:w="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234</w:t>
            </w:r>
          </w:p>
        </w:tc>
        <w:tc>
          <w:tcPr>
            <w:tcW w:w="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80</w:t>
            </w:r>
          </w:p>
        </w:tc>
        <w:tc>
          <w:tcPr>
            <w:tcW w:w="0" w:type="dxa"/>
            <w:vAlign w:val="bottom"/>
          </w:tcPr>
          <w:p>
            <w:pPr>
              <w:spacing w:after="0"/>
              <w:rPr>
                <w:sz w:val="1"/>
                <w:szCs w:val="1"/>
                <w:color w:val="auto"/>
              </w:rPr>
            </w:pPr>
          </w:p>
        </w:tc>
      </w:tr>
      <w:tr>
        <w:trPr>
          <w:trHeight w:val="213"/>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Total assets</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6,289</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7,250</w:t>
            </w:r>
          </w:p>
        </w:tc>
        <w:tc>
          <w:tcPr>
            <w:tcW w:w="200" w:type="dxa"/>
            <w:vAlign w:val="bottom"/>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6,289</w:t>
            </w:r>
          </w:p>
        </w:tc>
        <w:tc>
          <w:tcPr>
            <w:tcW w:w="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6,311</w:t>
            </w:r>
          </w:p>
        </w:tc>
        <w:tc>
          <w:tcPr>
            <w:tcW w:w="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7,250</w:t>
            </w:r>
          </w:p>
        </w:tc>
        <w:tc>
          <w:tcPr>
            <w:tcW w:w="0" w:type="dxa"/>
            <w:vAlign w:val="bottom"/>
          </w:tcPr>
          <w:p>
            <w:pPr>
              <w:spacing w:after="0"/>
              <w:rPr>
                <w:sz w:val="1"/>
                <w:szCs w:val="1"/>
                <w:color w:val="auto"/>
              </w:rPr>
            </w:pPr>
          </w:p>
        </w:tc>
      </w:tr>
      <w:tr>
        <w:trPr>
          <w:trHeight w:val="213"/>
        </w:trPr>
        <w:tc>
          <w:tcPr>
            <w:tcW w:w="50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equity</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1,038</w:t>
            </w:r>
          </w:p>
        </w:tc>
        <w:tc>
          <w:tcPr>
            <w:tcW w:w="200" w:type="dxa"/>
            <w:vAlign w:val="bottom"/>
            <w:shd w:val="clear" w:color="auto" w:fill="CCEEFF"/>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1,016</w:t>
            </w:r>
          </w:p>
        </w:tc>
        <w:tc>
          <w:tcPr>
            <w:tcW w:w="20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1,038</w:t>
            </w:r>
          </w:p>
        </w:tc>
        <w:tc>
          <w:tcPr>
            <w:tcW w:w="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1,026</w:t>
            </w:r>
          </w:p>
        </w:tc>
        <w:tc>
          <w:tcPr>
            <w:tcW w:w="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1,016</w:t>
            </w:r>
          </w:p>
        </w:tc>
        <w:tc>
          <w:tcPr>
            <w:tcW w:w="0" w:type="dxa"/>
            <w:vAlign w:val="bottom"/>
          </w:tcPr>
          <w:p>
            <w:pPr>
              <w:spacing w:after="0"/>
              <w:rPr>
                <w:sz w:val="1"/>
                <w:szCs w:val="1"/>
                <w:color w:val="auto"/>
              </w:rPr>
            </w:pPr>
          </w:p>
        </w:tc>
      </w:tr>
      <w:tr>
        <w:trPr>
          <w:trHeight w:val="254"/>
        </w:trPr>
        <w:tc>
          <w:tcPr>
            <w:tcW w:w="5040" w:type="dxa"/>
            <w:vAlign w:val="bottom"/>
            <w:gridSpan w:val="2"/>
          </w:tcPr>
          <w:p>
            <w:pPr>
              <w:spacing w:after="0" w:line="253" w:lineRule="exact"/>
              <w:rPr>
                <w:sz w:val="20"/>
                <w:szCs w:val="20"/>
                <w:color w:val="auto"/>
              </w:rPr>
            </w:pPr>
            <w:r>
              <w:rPr>
                <w:rFonts w:ascii="Times New Roman" w:cs="Times New Roman" w:eastAsia="Times New Roman" w:hAnsi="Times New Roman"/>
                <w:sz w:val="18"/>
                <w:szCs w:val="18"/>
                <w:color w:val="auto"/>
              </w:rPr>
              <w:t xml:space="preserve">Market capitalization </w:t>
            </w:r>
            <w:r>
              <w:rPr>
                <w:rFonts w:ascii="Times New Roman" w:cs="Times New Roman" w:eastAsia="Times New Roman" w:hAnsi="Times New Roman"/>
                <w:sz w:val="29"/>
                <w:szCs w:val="29"/>
                <w:color w:val="auto"/>
                <w:vertAlign w:val="superscript"/>
              </w:rPr>
              <w:t>(8)</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628</w:t>
            </w:r>
          </w:p>
        </w:tc>
        <w:tc>
          <w:tcPr>
            <w:tcW w:w="200" w:type="dxa"/>
            <w:vAlign w:val="bottom"/>
          </w:tcPr>
          <w:p>
            <w:pPr>
              <w:jc w:val="right"/>
              <w:ind w:right="37"/>
              <w:spacing w:after="0"/>
              <w:rPr>
                <w:sz w:val="20"/>
                <w:szCs w:val="20"/>
                <w:color w:val="auto"/>
              </w:rPr>
            </w:pPr>
            <w:r>
              <w:rPr>
                <w:rFonts w:ascii="Times New Roman" w:cs="Times New Roman" w:eastAsia="Times New Roman" w:hAnsi="Times New Roman"/>
                <w:sz w:val="17"/>
                <w:szCs w:val="17"/>
                <w:color w:val="auto"/>
                <w:w w:val="70"/>
              </w:rPr>
              <w:t>$</w:t>
            </w:r>
          </w:p>
        </w:tc>
        <w:tc>
          <w:tcPr>
            <w:tcW w:w="1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847</w:t>
            </w:r>
          </w:p>
        </w:tc>
        <w:tc>
          <w:tcPr>
            <w:tcW w:w="200" w:type="dxa"/>
            <w:vAlign w:val="bottom"/>
          </w:tcPr>
          <w:p>
            <w:pPr>
              <w:jc w:val="right"/>
              <w:ind w:right="11"/>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628</w:t>
            </w:r>
          </w:p>
        </w:tc>
        <w:tc>
          <w:tcPr>
            <w:tcW w:w="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482</w:t>
            </w:r>
          </w:p>
        </w:tc>
        <w:tc>
          <w:tcPr>
            <w:tcW w:w="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847</w:t>
            </w:r>
          </w:p>
        </w:tc>
        <w:tc>
          <w:tcPr>
            <w:tcW w:w="0" w:type="dxa"/>
            <w:vAlign w:val="bottom"/>
          </w:tcPr>
          <w:p>
            <w:pPr>
              <w:spacing w:after="0"/>
              <w:rPr>
                <w:sz w:val="1"/>
                <w:szCs w:val="1"/>
                <w:color w:val="auto"/>
              </w:rPr>
            </w:pP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Tier 1 Basel III Capital Ratio </w:t>
            </w:r>
            <w:r>
              <w:rPr>
                <w:rFonts w:ascii="Times New Roman" w:cs="Times New Roman" w:eastAsia="Times New Roman" w:hAnsi="Times New Roman"/>
                <w:sz w:val="29"/>
                <w:szCs w:val="29"/>
                <w:color w:val="auto"/>
                <w:vertAlign w:val="superscript"/>
              </w:rPr>
              <w:t>(9)</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26.0%</w:t>
            </w:r>
          </w:p>
        </w:tc>
        <w:tc>
          <w:tcPr>
            <w:tcW w:w="2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19.8%</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26.0%</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26.5%</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19.8%</w:t>
            </w:r>
          </w:p>
        </w:tc>
        <w:tc>
          <w:tcPr>
            <w:tcW w:w="0" w:type="dxa"/>
            <w:vAlign w:val="bottom"/>
          </w:tcPr>
          <w:p>
            <w:pPr>
              <w:spacing w:after="0"/>
              <w:rPr>
                <w:sz w:val="1"/>
                <w:szCs w:val="1"/>
                <w:color w:val="auto"/>
              </w:rPr>
            </w:pPr>
          </w:p>
        </w:tc>
      </w:tr>
      <w:tr>
        <w:trPr>
          <w:trHeight w:val="213"/>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Total assets / Total equity (times)</w:t>
            </w:r>
          </w:p>
        </w:tc>
        <w:tc>
          <w:tcPr>
            <w:tcW w:w="200" w:type="dxa"/>
            <w:vAlign w:val="bottom"/>
          </w:tcPr>
          <w:p>
            <w:pPr>
              <w:spacing w:after="0"/>
              <w:rPr>
                <w:sz w:val="18"/>
                <w:szCs w:val="18"/>
                <w:color w:val="auto"/>
              </w:rPr>
            </w:pP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6.1</w:t>
            </w:r>
          </w:p>
        </w:tc>
        <w:tc>
          <w:tcPr>
            <w:tcW w:w="20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7.1</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6.1</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6.2</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7.1</w:t>
            </w:r>
          </w:p>
        </w:tc>
        <w:tc>
          <w:tcPr>
            <w:tcW w:w="0" w:type="dxa"/>
            <w:vAlign w:val="bottom"/>
          </w:tcPr>
          <w:p>
            <w:pPr>
              <w:spacing w:after="0"/>
              <w:rPr>
                <w:sz w:val="1"/>
                <w:szCs w:val="1"/>
                <w:color w:val="auto"/>
              </w:rPr>
            </w:pP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Liquid Assets / Total Assets </w:t>
            </w:r>
            <w:r>
              <w:rPr>
                <w:rFonts w:ascii="Times New Roman" w:cs="Times New Roman" w:eastAsia="Times New Roman" w:hAnsi="Times New Roman"/>
                <w:sz w:val="29"/>
                <w:szCs w:val="29"/>
                <w:color w:val="auto"/>
                <w:vertAlign w:val="superscript"/>
              </w:rPr>
              <w:t>(10)</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16.7%</w:t>
            </w:r>
          </w:p>
        </w:tc>
        <w:tc>
          <w:tcPr>
            <w:tcW w:w="2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16.0%</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16.7%</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23.2%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16.0%</w:t>
            </w:r>
          </w:p>
        </w:tc>
        <w:tc>
          <w:tcPr>
            <w:tcW w:w="0" w:type="dxa"/>
            <w:vAlign w:val="bottom"/>
          </w:tcPr>
          <w:p>
            <w:pPr>
              <w:spacing w:after="0"/>
              <w:rPr>
                <w:sz w:val="1"/>
                <w:szCs w:val="1"/>
                <w:color w:val="auto"/>
              </w:rPr>
            </w:pPr>
          </w:p>
        </w:tc>
      </w:tr>
      <w:tr>
        <w:trPr>
          <w:trHeight w:val="254"/>
        </w:trPr>
        <w:tc>
          <w:tcPr>
            <w:tcW w:w="5040" w:type="dxa"/>
            <w:vAlign w:val="bottom"/>
            <w:gridSpan w:val="2"/>
          </w:tcPr>
          <w:p>
            <w:pPr>
              <w:spacing w:after="0" w:line="253" w:lineRule="exact"/>
              <w:rPr>
                <w:sz w:val="20"/>
                <w:szCs w:val="20"/>
                <w:color w:val="auto"/>
              </w:rPr>
            </w:pPr>
            <w:r>
              <w:rPr>
                <w:rFonts w:ascii="Times New Roman" w:cs="Times New Roman" w:eastAsia="Times New Roman" w:hAnsi="Times New Roman"/>
                <w:sz w:val="18"/>
                <w:szCs w:val="18"/>
                <w:color w:val="auto"/>
              </w:rPr>
              <w:t xml:space="preserve">Credit-impaired loans to Loan Portfolio </w:t>
            </w:r>
            <w:r>
              <w:rPr>
                <w:rFonts w:ascii="Times New Roman" w:cs="Times New Roman" w:eastAsia="Times New Roman" w:hAnsi="Times New Roman"/>
                <w:sz w:val="29"/>
                <w:szCs w:val="29"/>
                <w:color w:val="auto"/>
                <w:vertAlign w:val="superscript"/>
              </w:rPr>
              <w:t>(11)</w:t>
            </w:r>
          </w:p>
        </w:tc>
        <w:tc>
          <w:tcPr>
            <w:tcW w:w="200" w:type="dxa"/>
            <w:vAlign w:val="bottom"/>
          </w:tcPr>
          <w:p>
            <w:pPr>
              <w:spacing w:after="0"/>
              <w:rPr>
                <w:sz w:val="22"/>
                <w:szCs w:val="22"/>
                <w:color w:val="auto"/>
              </w:rPr>
            </w:pPr>
          </w:p>
        </w:tc>
        <w:tc>
          <w:tcPr>
            <w:tcW w:w="10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0.22%</w:t>
            </w:r>
          </w:p>
        </w:tc>
        <w:tc>
          <w:tcPr>
            <w:tcW w:w="200" w:type="dxa"/>
            <w:vAlign w:val="bottom"/>
          </w:tcPr>
          <w:p>
            <w:pPr>
              <w:spacing w:after="0"/>
              <w:rPr>
                <w:sz w:val="22"/>
                <w:szCs w:val="22"/>
                <w:color w:val="auto"/>
              </w:rPr>
            </w:pPr>
          </w:p>
        </w:tc>
        <w:tc>
          <w:tcPr>
            <w:tcW w:w="10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1.05%</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0.22%</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0.00%</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1.05%</w:t>
            </w:r>
          </w:p>
        </w:tc>
        <w:tc>
          <w:tcPr>
            <w:tcW w:w="0" w:type="dxa"/>
            <w:vAlign w:val="bottom"/>
          </w:tcPr>
          <w:p>
            <w:pPr>
              <w:spacing w:after="0"/>
              <w:rPr>
                <w:sz w:val="1"/>
                <w:szCs w:val="1"/>
                <w:color w:val="auto"/>
              </w:rPr>
            </w:pP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Total allowance for losses to Credit Portfolio </w:t>
            </w:r>
            <w:r>
              <w:rPr>
                <w:rFonts w:ascii="Times New Roman" w:cs="Times New Roman" w:eastAsia="Times New Roman" w:hAnsi="Times New Roman"/>
                <w:sz w:val="29"/>
                <w:szCs w:val="29"/>
                <w:color w:val="auto"/>
                <w:vertAlign w:val="superscript"/>
              </w:rPr>
              <w:t>(12)</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0.75%</w:t>
            </w:r>
          </w:p>
        </w:tc>
        <w:tc>
          <w:tcPr>
            <w:tcW w:w="2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1.56%</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0.75%</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0.84%</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1.56%</w:t>
            </w:r>
          </w:p>
        </w:tc>
        <w:tc>
          <w:tcPr>
            <w:tcW w:w="0" w:type="dxa"/>
            <w:vAlign w:val="bottom"/>
          </w:tcPr>
          <w:p>
            <w:pPr>
              <w:spacing w:after="0"/>
              <w:rPr>
                <w:sz w:val="1"/>
                <w:szCs w:val="1"/>
                <w:color w:val="auto"/>
              </w:rPr>
            </w:pPr>
          </w:p>
        </w:tc>
      </w:tr>
      <w:tr>
        <w:trPr>
          <w:trHeight w:val="235"/>
        </w:trPr>
        <w:tc>
          <w:tcPr>
            <w:tcW w:w="5040" w:type="dxa"/>
            <w:vAlign w:val="bottom"/>
            <w:gridSpan w:val="2"/>
          </w:tcPr>
          <w:p>
            <w:pPr>
              <w:spacing w:after="0" w:line="235" w:lineRule="exact"/>
              <w:rPr>
                <w:sz w:val="20"/>
                <w:szCs w:val="20"/>
                <w:color w:val="auto"/>
              </w:rPr>
            </w:pPr>
            <w:r>
              <w:rPr>
                <w:rFonts w:ascii="Times New Roman" w:cs="Times New Roman" w:eastAsia="Times New Roman" w:hAnsi="Times New Roman"/>
                <w:sz w:val="17"/>
                <w:szCs w:val="17"/>
                <w:color w:val="auto"/>
              </w:rPr>
              <w:t xml:space="preserve">Total allowance for losses to credit-impaired loans (times) </w:t>
            </w:r>
            <w:r>
              <w:rPr>
                <w:rFonts w:ascii="Times New Roman" w:cs="Times New Roman" w:eastAsia="Times New Roman" w:hAnsi="Times New Roman"/>
                <w:sz w:val="27"/>
                <w:szCs w:val="27"/>
                <w:color w:val="auto"/>
                <w:vertAlign w:val="superscript"/>
              </w:rPr>
              <w:t>(12)</w:t>
            </w:r>
          </w:p>
        </w:tc>
        <w:tc>
          <w:tcPr>
            <w:tcW w:w="200" w:type="dxa"/>
            <w:vAlign w:val="bottom"/>
          </w:tcPr>
          <w:p>
            <w:pPr>
              <w:spacing w:after="0"/>
              <w:rPr>
                <w:sz w:val="20"/>
                <w:szCs w:val="20"/>
                <w:color w:val="auto"/>
              </w:rPr>
            </w:pPr>
          </w:p>
        </w:tc>
        <w:tc>
          <w:tcPr>
            <w:tcW w:w="106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4.2</w:t>
            </w:r>
          </w:p>
        </w:tc>
        <w:tc>
          <w:tcPr>
            <w:tcW w:w="200" w:type="dxa"/>
            <w:vAlign w:val="bottom"/>
          </w:tcPr>
          <w:p>
            <w:pPr>
              <w:spacing w:after="0"/>
              <w:rPr>
                <w:sz w:val="20"/>
                <w:szCs w:val="20"/>
                <w:color w:val="auto"/>
              </w:rPr>
            </w:pPr>
          </w:p>
        </w:tc>
        <w:tc>
          <w:tcPr>
            <w:tcW w:w="1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1.7</w:t>
            </w:r>
          </w:p>
        </w:tc>
        <w:tc>
          <w:tcPr>
            <w:tcW w:w="200" w:type="dxa"/>
            <w:vAlign w:val="bottom"/>
          </w:tcPr>
          <w:p>
            <w:pPr>
              <w:spacing w:after="0"/>
              <w:rPr>
                <w:sz w:val="20"/>
                <w:szCs w:val="20"/>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4.2</w:t>
            </w: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n.m.</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1.7</w:t>
            </w:r>
          </w:p>
        </w:tc>
        <w:tc>
          <w:tcPr>
            <w:tcW w:w="0" w:type="dxa"/>
            <w:vAlign w:val="bottom"/>
          </w:tcPr>
          <w:p>
            <w:pPr>
              <w:spacing w:after="0"/>
              <w:rPr>
                <w:sz w:val="1"/>
                <w:szCs w:val="1"/>
                <w:color w:val="auto"/>
              </w:rPr>
            </w:pPr>
          </w:p>
        </w:tc>
      </w:tr>
      <w:tr>
        <w:trPr>
          <w:trHeight w:val="232"/>
        </w:trPr>
        <w:tc>
          <w:tcPr>
            <w:tcW w:w="5040" w:type="dxa"/>
            <w:vAlign w:val="bottom"/>
            <w:gridSpan w:val="2"/>
          </w:tcPr>
          <w:p>
            <w:pPr>
              <w:spacing w:after="0"/>
              <w:rPr>
                <w:sz w:val="20"/>
                <w:szCs w:val="20"/>
                <w:color w:val="auto"/>
              </w:rPr>
            </w:pPr>
            <w:r>
              <w:rPr>
                <w:rFonts w:ascii="Times New Roman" w:cs="Times New Roman" w:eastAsia="Times New Roman" w:hAnsi="Times New Roman"/>
                <w:sz w:val="18"/>
                <w:szCs w:val="18"/>
                <w:color w:val="404040"/>
              </w:rPr>
              <w:t>"n.m." means not meaningful.</w:t>
            </w: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19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BUSINESS HIGHLIGHTS</w:t>
      </w:r>
    </w:p>
    <w:p>
      <w:pPr>
        <w:spacing w:after="0" w:line="224" w:lineRule="exact"/>
        <w:rPr>
          <w:sz w:val="20"/>
          <w:szCs w:val="20"/>
          <w:color w:val="auto"/>
        </w:rPr>
      </w:pPr>
    </w:p>
    <w:p>
      <w:pPr>
        <w:jc w:val="both"/>
        <w:ind w:left="320" w:hanging="313"/>
        <w:spacing w:after="0" w:line="257" w:lineRule="auto"/>
        <w:tabs>
          <w:tab w:leader="none" w:pos="32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Bladex’s Commercial Portfolio growth accelerated during 4Q20, up 9% QoQ to reach $5.6 billion at year-end, driven by higher loan origination (+18% QoQ), with a continued emphasis on defensive sectors and under stricter credit underwriting standards. In addition, considering the 69% QoQ increase in the Investment Portfolio, mostly focused on highly liquid corporate debt securities rated above ‘A-‘, the Bank’s Credit Portfolio totaled $5.9 billion at the end of the 4Q20 (+12% QoQ).</w:t>
      </w:r>
    </w:p>
    <w:p>
      <w:pPr>
        <w:spacing w:after="0" w:line="180" w:lineRule="exact"/>
        <w:rPr>
          <w:rFonts w:ascii="Times New Roman" w:cs="Times New Roman" w:eastAsia="Times New Roman" w:hAnsi="Times New Roman"/>
          <w:sz w:val="18"/>
          <w:szCs w:val="18"/>
          <w:color w:val="auto"/>
        </w:rPr>
      </w:pPr>
    </w:p>
    <w:p>
      <w:pPr>
        <w:ind w:left="320" w:hanging="313"/>
        <w:spacing w:after="0" w:line="277" w:lineRule="auto"/>
        <w:tabs>
          <w:tab w:leader="none" w:pos="32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During 4Q20, Bladex sustained preceding quarterly trend in collecting virtually all loan maturities (99% in 4Q20 and since the onset of Covid-19), evidencing the high quality of the Bank’s borrower base and short-term nature of its business.</w:t>
      </w:r>
    </w:p>
    <w:p>
      <w:pPr>
        <w:spacing w:after="0" w:line="162" w:lineRule="exact"/>
        <w:rPr>
          <w:rFonts w:ascii="Times New Roman" w:cs="Times New Roman" w:eastAsia="Times New Roman" w:hAnsi="Times New Roman"/>
          <w:sz w:val="18"/>
          <w:szCs w:val="18"/>
          <w:color w:val="auto"/>
        </w:rPr>
      </w:pPr>
    </w:p>
    <w:p>
      <w:pPr>
        <w:jc w:val="both"/>
        <w:ind w:left="320" w:hanging="313"/>
        <w:spacing w:after="0" w:line="257" w:lineRule="auto"/>
        <w:tabs>
          <w:tab w:leader="none" w:pos="32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of December 31, 2020, Bladex’s Commercial Portfolio remained well-diversified and focused on high quality exposures, with 59% in investment grade countries, 54% with financial institutions and 16% with sovereign and state-owned corporations. In addition, exposure to higher risk sectors has been downsized since the onset of Covid-19, such as sugar (-43%) and airlines (-67%), now representing 1% and 0.9% of the total portfolio, respectively.</w:t>
      </w:r>
    </w:p>
    <w:p>
      <w:pPr>
        <w:spacing w:after="0" w:line="180" w:lineRule="exact"/>
        <w:rPr>
          <w:rFonts w:ascii="Times New Roman" w:cs="Times New Roman" w:eastAsia="Times New Roman" w:hAnsi="Times New Roman"/>
          <w:sz w:val="18"/>
          <w:szCs w:val="18"/>
          <w:color w:val="auto"/>
        </w:rPr>
      </w:pPr>
    </w:p>
    <w:p>
      <w:pPr>
        <w:ind w:left="320" w:hanging="313"/>
        <w:spacing w:after="0"/>
        <w:tabs>
          <w:tab w:leader="none" w:pos="320" w:val="left"/>
        </w:tabs>
        <w:numPr>
          <w:ilvl w:val="0"/>
          <w:numId w:val="1"/>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Lower Loan Portfolio balances and the collection of loans in higher risk sectors and countries resulted in a $1.5 million net reversal of credit reserves for</w:t>
      </w:r>
    </w:p>
    <w:p>
      <w:pPr>
        <w:sectPr>
          <w:pgSz w:w="11900" w:h="16875" w:orient="portrait"/>
          <w:cols w:equalWidth="0" w:num="1">
            <w:col w:w="11240"/>
          </w:cols>
          <w:pgMar w:left="320" w:top="1440" w:right="339" w:bottom="0" w:gutter="0" w:footer="0" w:header="0"/>
        </w:sectPr>
      </w:pPr>
    </w:p>
    <w:bookmarkStart w:id="3" w:name="page4"/>
    <w:bookmarkEnd w:id="3"/>
    <w:p>
      <w:pPr>
        <w:ind w:left="313"/>
        <w:spacing w:after="0" w:line="277" w:lineRule="auto"/>
        <w:rPr>
          <w:sz w:val="20"/>
          <w:szCs w:val="20"/>
          <w:color w:val="auto"/>
        </w:rPr>
      </w:pPr>
      <w:r>
        <w:rPr>
          <w:rFonts w:ascii="Times New Roman" w:cs="Times New Roman" w:eastAsia="Times New Roman" w:hAnsi="Times New Roman"/>
          <w:sz w:val="18"/>
          <w:szCs w:val="18"/>
          <w:color w:val="auto"/>
        </w:rPr>
        <w:t>FY20. As of December 31, 2020, asset quality remained sound with $11 million recorded as a credit-impaired loan (“NPL”), representing 0.22% of the total Loan Portfolio, compared to zero NPLs in the previous quarter and $62 million or 1.05% of the total Loan Portfolio a year ago.</w:t>
      </w:r>
    </w:p>
    <w:p>
      <w:pPr>
        <w:spacing w:after="0" w:line="163" w:lineRule="exact"/>
        <w:rPr>
          <w:sz w:val="20"/>
          <w:szCs w:val="20"/>
          <w:color w:val="auto"/>
        </w:rPr>
      </w:pPr>
    </w:p>
    <w:p>
      <w:pPr>
        <w:jc w:val="both"/>
        <w:ind w:left="313" w:hanging="313"/>
        <w:spacing w:after="0" w:line="262" w:lineRule="auto"/>
        <w:tabs>
          <w:tab w:leader="none" w:pos="313"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 maintained a sound and diversified funding structure in 4Q20, primarily supported by the continued growth of its deposit base (+3 QoQ; +9% YoY), coupled with ample and constant access to interbank and debt capital markets. In turn, the Bank reduced its liquidity position, which stood at $1.0 billion (17% of Total Assets) at year-end.</w:t>
      </w:r>
    </w:p>
    <w:p>
      <w:pPr>
        <w:spacing w:after="0" w:line="176" w:lineRule="exact"/>
        <w:rPr>
          <w:rFonts w:ascii="Times New Roman" w:cs="Times New Roman" w:eastAsia="Times New Roman" w:hAnsi="Times New Roman"/>
          <w:sz w:val="18"/>
          <w:szCs w:val="18"/>
          <w:color w:val="auto"/>
        </w:rPr>
      </w:pPr>
    </w:p>
    <w:p>
      <w:pPr>
        <w:ind w:left="313" w:hanging="313"/>
        <w:spacing w:after="0" w:line="277" w:lineRule="auto"/>
        <w:tabs>
          <w:tab w:leader="none" w:pos="313"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Bladex’s Profit for 4Q20 was $15.7 million (+2% QoQ), totaling $63.6 million for FY20 (-26% YoY), denoting sustainable results as Bladex’s unique business model represents a key advantage in a year deeply impacted by Covid-19 pandemic and prevailing market uncertainty.</w:t>
      </w:r>
    </w:p>
    <w:p>
      <w:pPr>
        <w:spacing w:after="0" w:line="162" w:lineRule="exact"/>
        <w:rPr>
          <w:rFonts w:ascii="Times New Roman" w:cs="Times New Roman" w:eastAsia="Times New Roman" w:hAnsi="Times New Roman"/>
          <w:sz w:val="18"/>
          <w:szCs w:val="18"/>
          <w:color w:val="auto"/>
        </w:rPr>
      </w:pPr>
    </w:p>
    <w:p>
      <w:pPr>
        <w:jc w:val="both"/>
        <w:ind w:left="313" w:hanging="313"/>
        <w:spacing w:after="0" w:line="262" w:lineRule="auto"/>
        <w:tabs>
          <w:tab w:leader="none" w:pos="313"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Net Interest Income (“NII”) for 4Q20 was nearly stable QoQ (-1%), impacted by lower ‘NIM’ on lower rates, offseting the effects of higher average lending volumes. FY20 NII &amp; NIM were below pre-Covid levels (-16% YoY and -33 bps YoY, respectively), as a result of the Bank’s defensive approach to favor liquidity over loan growth during most part of the year, coupled with the impact of decreased market rates.</w:t>
      </w:r>
    </w:p>
    <w:p>
      <w:pPr>
        <w:spacing w:after="0" w:line="176" w:lineRule="exact"/>
        <w:rPr>
          <w:rFonts w:ascii="Times New Roman" w:cs="Times New Roman" w:eastAsia="Times New Roman" w:hAnsi="Times New Roman"/>
          <w:sz w:val="18"/>
          <w:szCs w:val="18"/>
          <w:color w:val="auto"/>
        </w:rPr>
      </w:pPr>
    </w:p>
    <w:p>
      <w:pPr>
        <w:ind w:left="313" w:right="20" w:hanging="313"/>
        <w:spacing w:after="0" w:line="277" w:lineRule="auto"/>
        <w:tabs>
          <w:tab w:leader="none" w:pos="313"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Fees and commissions income totaled $2.8 million for 4Q20, up 7% QoQ, driven by higher fees from the letters of credit business. FY20 fees and commissions were 33% lower YoY mostly on the absence of mandated structured transactions in a year impacted by market uncertainty.</w:t>
      </w:r>
    </w:p>
    <w:p>
      <w:pPr>
        <w:spacing w:after="0" w:line="162" w:lineRule="exact"/>
        <w:rPr>
          <w:rFonts w:ascii="Times New Roman" w:cs="Times New Roman" w:eastAsia="Times New Roman" w:hAnsi="Times New Roman"/>
          <w:sz w:val="18"/>
          <w:szCs w:val="18"/>
          <w:color w:val="auto"/>
        </w:rPr>
      </w:pPr>
    </w:p>
    <w:p>
      <w:pPr>
        <w:jc w:val="both"/>
        <w:ind w:left="313" w:hanging="313"/>
        <w:spacing w:after="0" w:line="262" w:lineRule="auto"/>
        <w:tabs>
          <w:tab w:leader="none" w:pos="313"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FY20 Operating Expenses decreased 8% YoY, mainly on lower variable compensation and other savings in the current context. FY20 Efficiency Ratio stood at 37.6%, on lower total revenues on the account of the Bank’s implemented measures to mitigate the risks associated to Covid-19 pandemic. 4Q20 Efficiency Ratio was 40% on seasonal higher operating expenses while revenues remained stable QoQ.</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259080</wp:posOffset>
            </wp:positionV>
            <wp:extent cx="713422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33"/>
          </w:cols>
          <w:pgMar w:left="327" w:top="121" w:right="3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50735" cy="12877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150735" cy="12877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CEO’s Comments</w:t>
      </w:r>
    </w:p>
    <w:p>
      <w:pPr>
        <w:spacing w:after="0" w:line="224" w:lineRule="exact"/>
        <w:rPr>
          <w:sz w:val="20"/>
          <w:szCs w:val="20"/>
          <w:color w:val="auto"/>
        </w:rPr>
      </w:pPr>
    </w:p>
    <w:p>
      <w:pPr>
        <w:jc w:val="both"/>
        <w:ind w:right="80"/>
        <w:spacing w:after="0" w:line="253" w:lineRule="auto"/>
        <w:rPr>
          <w:sz w:val="20"/>
          <w:szCs w:val="20"/>
          <w:color w:val="auto"/>
        </w:rPr>
      </w:pPr>
      <w:r>
        <w:rPr>
          <w:rFonts w:ascii="Times New Roman" w:cs="Times New Roman" w:eastAsia="Times New Roman" w:hAnsi="Times New Roman"/>
          <w:sz w:val="18"/>
          <w:szCs w:val="18"/>
          <w:color w:val="auto"/>
        </w:rPr>
        <w:t>Mr. Jorge Salas, Bladex’s Chief Executive Officer said: “2020 proved to be a very challenging year for Bladex’s markets, as Latin American economic growth was severely impacted from high uncertainty and volatility derived from the deep effects of the Covid-19 pandemic, evidenced by the estimates of 7.4% GDP regional contraction. Notwithstanding, Bladex’s unique business model – characterized by its short-term trade nature and high-quality borrower base – proved to be a fundamental and differentiating advantage throughout the year, allowing us to swiftly recompose the risk in our portfolio, while working closely and attending our clients’ needs under tighter credit underwriting standards, as we also strengthen our liquidity levels, supported by broad access to debt capital markets and the continued support of deposits from our Class A shareholders.”</w:t>
      </w:r>
    </w:p>
    <w:p>
      <w:pPr>
        <w:spacing w:after="0" w:line="185" w:lineRule="exact"/>
        <w:rPr>
          <w:sz w:val="20"/>
          <w:szCs w:val="20"/>
          <w:color w:val="auto"/>
        </w:rPr>
      </w:pPr>
    </w:p>
    <w:p>
      <w:pPr>
        <w:jc w:val="both"/>
        <w:ind w:right="80"/>
        <w:spacing w:after="0" w:line="253" w:lineRule="auto"/>
        <w:rPr>
          <w:sz w:val="20"/>
          <w:szCs w:val="20"/>
          <w:color w:val="auto"/>
        </w:rPr>
      </w:pPr>
      <w:r>
        <w:rPr>
          <w:rFonts w:ascii="Times New Roman" w:cs="Times New Roman" w:eastAsia="Times New Roman" w:hAnsi="Times New Roman"/>
          <w:sz w:val="18"/>
          <w:szCs w:val="18"/>
          <w:color w:val="auto"/>
        </w:rPr>
        <w:t>Mr. Salas added: “During the fourth quarter, we continued the preceding quarterly trend of higher disbursements, resulting in a Commercial Portfolio growth of 13% compared to the lowest level at the end of the first half of the year, complemented by the increase of our credit investments with good quality LatAm bond instruments and by the creation of a highly liquid corporate debt securities portfolio, allowing us to gradually reduce the cash balances while still preserving a solid liquidity level. Bladex’s solid financial position remains, despite all the challenges faced throughout a very complex economic year, and is underlined by the Bank’s ability to deliver sustainable and quality results, with a healthier and well-diversified asset composition, and a stronger funding structure with increased tenors and diversification.”</w:t>
      </w:r>
    </w:p>
    <w:p>
      <w:pPr>
        <w:spacing w:after="0" w:line="185" w:lineRule="exact"/>
        <w:rPr>
          <w:sz w:val="20"/>
          <w:szCs w:val="20"/>
          <w:color w:val="auto"/>
        </w:rPr>
      </w:pPr>
    </w:p>
    <w:p>
      <w:pPr>
        <w:jc w:val="both"/>
        <w:ind w:right="80"/>
        <w:spacing w:after="0" w:line="254" w:lineRule="auto"/>
        <w:rPr>
          <w:sz w:val="20"/>
          <w:szCs w:val="20"/>
          <w:color w:val="auto"/>
        </w:rPr>
      </w:pPr>
      <w:r>
        <w:rPr>
          <w:rFonts w:ascii="Times New Roman" w:cs="Times New Roman" w:eastAsia="Times New Roman" w:hAnsi="Times New Roman"/>
          <w:sz w:val="18"/>
          <w:szCs w:val="18"/>
          <w:color w:val="auto"/>
        </w:rPr>
        <w:t>Mr. Salas concluded: “We remain prudently cautious in the face of the uncertainty that still lies ahead for this year 2021. I am extremely proud of and thankful to all my colleagues at Bladex, and of the way they have come together to navigate the storm so far, quickly adapting to the unprecedented circumstances, working from home and keeping safe, while remaining strongly committed and successfully serving our clients, standing by them during these trying times. We will continue to promote foreign trade and economic integration in our Region, committed to the best long-term interest of our shareholders.”</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RECENT EVENTS</w:t>
      </w:r>
    </w:p>
    <w:p>
      <w:pPr>
        <w:spacing w:after="0" w:line="220"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18"/>
          <w:szCs w:val="18"/>
          <w:b w:val="1"/>
          <w:bCs w:val="1"/>
          <w:color w:val="auto"/>
        </w:rPr>
        <w:t xml:space="preserve">Quarterly dividend payment: </w:t>
      </w:r>
      <w:r>
        <w:rPr>
          <w:rFonts w:ascii="Times New Roman" w:cs="Times New Roman" w:eastAsia="Times New Roman" w:hAnsi="Times New Roman"/>
          <w:sz w:val="18"/>
          <w:szCs w:val="18"/>
          <w:color w:val="auto"/>
        </w:rPr>
        <w:t>The Bank’s Board of Directors (the “Board”) approved a quarterly common dividend of $0.25 per share</w:t>
      </w:r>
    </w:p>
    <w:p>
      <w:pPr>
        <w:spacing w:after="0" w:line="29"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18"/>
          <w:szCs w:val="18"/>
          <w:color w:val="auto"/>
        </w:rPr>
        <w:t>corresponding to the fourth quarter 2020. The cash dividend will be paid on March 10, 2021, to shareholders registered as of February 23, 2021.</w:t>
      </w:r>
    </w:p>
    <w:p>
      <w:pPr>
        <w:spacing w:after="0" w:line="196" w:lineRule="exact"/>
        <w:rPr>
          <w:sz w:val="20"/>
          <w:szCs w:val="20"/>
          <w:color w:val="auto"/>
        </w:rPr>
      </w:pPr>
    </w:p>
    <w:p>
      <w:pPr>
        <w:ind w:left="640"/>
        <w:spacing w:after="0" w:line="256" w:lineRule="auto"/>
        <w:rPr>
          <w:sz w:val="20"/>
          <w:szCs w:val="20"/>
          <w:color w:val="auto"/>
        </w:rPr>
      </w:pPr>
      <w:r>
        <w:rPr>
          <w:rFonts w:ascii="Times New Roman" w:cs="Times New Roman" w:eastAsia="Times New Roman" w:hAnsi="Times New Roman"/>
          <w:sz w:val="18"/>
          <w:szCs w:val="18"/>
          <w:b w:val="1"/>
          <w:bCs w:val="1"/>
          <w:color w:val="auto"/>
        </w:rPr>
        <w:t xml:space="preserve">Ratings updates: </w:t>
      </w:r>
      <w:r>
        <w:rPr>
          <w:rFonts w:ascii="Times New Roman" w:cs="Times New Roman" w:eastAsia="Times New Roman" w:hAnsi="Times New Roman"/>
          <w:sz w:val="18"/>
          <w:szCs w:val="18"/>
          <w:color w:val="auto"/>
        </w:rPr>
        <w:t>On February 10, 2021, Fitch Ratings (“Fitch”) affirmed Bladex’s long- and short-term foreign currency Issuer Default Rating</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(“IDR”) at ‘BBB/F3’, respectively. The outlook for the Long-Term IDRs remains ‘Negative’. According to Fitch: “The affirmation of Bladex’s ratings following the downgrade of Panama’s sovereign ratings to ‘BBB-‘ from ‘BBB’, reflect the international nature of Bladex’s operations despite being domiciled in Panama. Bladex’s VR is one notch above Panama’s sovereign rating because, according to Fitch’s criteria, its high geographical diversification helps it to offset any potential negative impact of Panama’s sovereign risks.”</w:t>
      </w:r>
    </w:p>
    <w:p>
      <w:pPr>
        <w:spacing w:after="0" w:line="39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334645</wp:posOffset>
            </wp:positionV>
            <wp:extent cx="7196455" cy="10591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9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Notes:</w:t>
      </w:r>
    </w:p>
    <w:p>
      <w:pPr>
        <w:spacing w:after="0" w:line="157" w:lineRule="exact"/>
        <w:rPr>
          <w:sz w:val="20"/>
          <w:szCs w:val="20"/>
          <w:color w:val="auto"/>
        </w:rPr>
      </w:pPr>
    </w:p>
    <w:p>
      <w:pPr>
        <w:ind w:left="640" w:hanging="313"/>
        <w:spacing w:after="0"/>
        <w:tabs>
          <w:tab w:leader="none" w:pos="6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Numbers and percentages set forth in this earnings release have been rounded and accordingly may not total exactly.</w:t>
      </w:r>
    </w:p>
    <w:p>
      <w:pPr>
        <w:spacing w:after="0" w:line="153"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QoQ and YoY refer to quarter-on-quarter and year-on-year variations, respectively.</w:t>
      </w:r>
    </w:p>
    <w:p>
      <w:pPr>
        <w:spacing w:after="0" w:line="2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Footnotes:</w:t>
      </w:r>
    </w:p>
    <w:p>
      <w:pPr>
        <w:spacing w:after="0" w:line="157" w:lineRule="exact"/>
        <w:rPr>
          <w:sz w:val="20"/>
          <w:szCs w:val="20"/>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Earnings per Share (“EPS”) calculation is based on the average number of shares outstanding during each period.</w:t>
      </w:r>
    </w:p>
    <w:p>
      <w:pPr>
        <w:spacing w:after="0" w:line="153"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ROAE refers to return on average stockholders’ equity which is calculated on the basis of unaudited daily average balances.</w:t>
      </w:r>
    </w:p>
    <w:p>
      <w:pPr>
        <w:spacing w:after="0" w:line="153"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NIM refers to net interest margin which constitutes to Net Interest Income (“NII”) divided by the average balance of interest-earning assets.</w:t>
      </w:r>
    </w:p>
    <w:p>
      <w:pPr>
        <w:spacing w:after="0" w:line="153" w:lineRule="exact"/>
        <w:rPr>
          <w:rFonts w:ascii="Times New Roman" w:cs="Times New Roman" w:eastAsia="Times New Roman" w:hAnsi="Times New Roman"/>
          <w:sz w:val="18"/>
          <w:szCs w:val="18"/>
          <w:color w:val="auto"/>
        </w:rPr>
      </w:pPr>
    </w:p>
    <w:p>
      <w:pPr>
        <w:ind w:left="640" w:right="80" w:hanging="313"/>
        <w:spacing w:after="0" w:line="277"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NIS refers to net interest spread which constitutes the average yield earned on interest-earning assets, less the average yield paid on interest-bearing liabilities.</w:t>
      </w:r>
    </w:p>
    <w:p>
      <w:pPr>
        <w:spacing w:after="0" w:line="95"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Efficiency Ratio refers to consolidated operating expenses as a percentage of total revenues.</w:t>
      </w:r>
    </w:p>
    <w:p>
      <w:pPr>
        <w:spacing w:after="0" w:line="153" w:lineRule="exact"/>
        <w:rPr>
          <w:rFonts w:ascii="Times New Roman" w:cs="Times New Roman" w:eastAsia="Times New Roman" w:hAnsi="Times New Roman"/>
          <w:sz w:val="18"/>
          <w:szCs w:val="18"/>
          <w:color w:val="auto"/>
        </w:rPr>
      </w:pPr>
    </w:p>
    <w:p>
      <w:pPr>
        <w:jc w:val="both"/>
        <w:ind w:left="640" w:right="80" w:hanging="313"/>
        <w:spacing w:after="0" w:line="262"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09" w:lineRule="exact"/>
        <w:rPr>
          <w:rFonts w:ascii="Times New Roman" w:cs="Times New Roman" w:eastAsia="Times New Roman" w:hAnsi="Times New Roman"/>
          <w:sz w:val="18"/>
          <w:szCs w:val="18"/>
          <w:color w:val="auto"/>
        </w:rPr>
      </w:pPr>
    </w:p>
    <w:p>
      <w:pPr>
        <w:jc w:val="both"/>
        <w:ind w:left="640" w:right="80" w:hanging="313"/>
        <w:spacing w:after="0" w:line="262"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09"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Market capitalization corresponds to total outstanding common shares multiplied by market close price at the end of each corresponding period.</w:t>
      </w:r>
    </w:p>
    <w:p>
      <w:pPr>
        <w:spacing w:after="0" w:line="153" w:lineRule="exact"/>
        <w:rPr>
          <w:rFonts w:ascii="Times New Roman" w:cs="Times New Roman" w:eastAsia="Times New Roman" w:hAnsi="Times New Roman"/>
          <w:sz w:val="18"/>
          <w:szCs w:val="18"/>
          <w:color w:val="auto"/>
        </w:rPr>
      </w:pPr>
    </w:p>
    <w:p>
      <w:pPr>
        <w:jc w:val="both"/>
        <w:ind w:left="640" w:right="100" w:hanging="313"/>
        <w:spacing w:after="0" w:line="262"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09" w:lineRule="exact"/>
        <w:rPr>
          <w:rFonts w:ascii="Times New Roman" w:cs="Times New Roman" w:eastAsia="Times New Roman" w:hAnsi="Times New Roman"/>
          <w:sz w:val="18"/>
          <w:szCs w:val="18"/>
          <w:color w:val="auto"/>
        </w:rPr>
      </w:pPr>
    </w:p>
    <w:p>
      <w:pPr>
        <w:jc w:val="both"/>
        <w:ind w:left="640" w:right="80" w:hanging="313"/>
        <w:spacing w:after="0" w:line="262"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09" w:lineRule="exact"/>
        <w:rPr>
          <w:rFonts w:ascii="Times New Roman" w:cs="Times New Roman" w:eastAsia="Times New Roman" w:hAnsi="Times New Roman"/>
          <w:sz w:val="18"/>
          <w:szCs w:val="18"/>
          <w:color w:val="auto"/>
        </w:rPr>
      </w:pPr>
    </w:p>
    <w:p>
      <w:pPr>
        <w:ind w:left="640" w:right="80" w:hanging="313"/>
        <w:spacing w:after="0" w:line="277"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95" w:lineRule="exact"/>
        <w:rPr>
          <w:rFonts w:ascii="Times New Roman" w:cs="Times New Roman" w:eastAsia="Times New Roman" w:hAnsi="Times New Roman"/>
          <w:sz w:val="18"/>
          <w:szCs w:val="18"/>
          <w:color w:val="auto"/>
        </w:rPr>
      </w:pPr>
    </w:p>
    <w:p>
      <w:pPr>
        <w:ind w:left="640" w:right="80" w:hanging="313"/>
        <w:spacing w:after="0" w:line="277"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Total allowance for losses refers to allowance for loan losses plus allowance for loan commitments and financial guarantee contract losses and allowance for investment securities losses.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109220</wp:posOffset>
            </wp:positionV>
            <wp:extent cx="7138035" cy="225806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8035" cy="2258060"/>
                    </a:xfrm>
                    <a:prstGeom prst="rect">
                      <a:avLst/>
                    </a:prstGeom>
                    <a:noFill/>
                  </pic:spPr>
                </pic:pic>
              </a:graphicData>
            </a:graphic>
          </wp:anchor>
        </w:drawing>
      </w:r>
    </w:p>
    <w:p>
      <w:pPr>
        <w:spacing w:after="0" w:line="202" w:lineRule="exact"/>
        <w:rPr>
          <w:sz w:val="20"/>
          <w:szCs w:val="20"/>
          <w:color w:val="auto"/>
        </w:rPr>
      </w:pPr>
    </w:p>
    <w:p>
      <w:pPr>
        <w:jc w:val="both"/>
        <w:ind w:left="80" w:right="80"/>
        <w:spacing w:after="0" w:line="249" w:lineRule="auto"/>
        <w:rPr>
          <w:sz w:val="20"/>
          <w:szCs w:val="20"/>
          <w:color w:val="auto"/>
        </w:rPr>
      </w:pPr>
      <w:r>
        <w:rPr>
          <w:rFonts w:ascii="Times New Roman" w:cs="Times New Roman" w:eastAsia="Times New Roman" w:hAnsi="Times New Roman"/>
          <w:sz w:val="18"/>
          <w:szCs w:val="18"/>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62"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24130</wp:posOffset>
            </wp:positionV>
            <wp:extent cx="7134225"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095"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91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9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ABOUT BLADEX</w:t>
      </w:r>
    </w:p>
    <w:p>
      <w:pPr>
        <w:spacing w:after="0" w:line="224" w:lineRule="exact"/>
        <w:rPr>
          <w:sz w:val="20"/>
          <w:szCs w:val="20"/>
          <w:color w:val="auto"/>
        </w:rPr>
      </w:pPr>
    </w:p>
    <w:p>
      <w:pPr>
        <w:jc w:val="both"/>
        <w:ind w:right="80"/>
        <w:spacing w:after="0" w:line="257" w:lineRule="auto"/>
        <w:rPr>
          <w:sz w:val="20"/>
          <w:szCs w:val="20"/>
          <w:color w:val="auto"/>
        </w:rPr>
      </w:pPr>
      <w:r>
        <w:rPr>
          <w:rFonts w:ascii="Times New Roman" w:cs="Times New Roman" w:eastAsia="Times New Roman" w:hAnsi="Times New Roman"/>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1" w:lineRule="exact"/>
        <w:rPr>
          <w:sz w:val="20"/>
          <w:szCs w:val="20"/>
          <w:color w:val="auto"/>
        </w:rPr>
      </w:pPr>
    </w:p>
    <w:p>
      <w:pPr>
        <w:jc w:val="both"/>
        <w:ind w:right="80"/>
        <w:spacing w:after="0" w:line="262" w:lineRule="auto"/>
        <w:rPr>
          <w:sz w:val="20"/>
          <w:szCs w:val="20"/>
          <w:color w:val="auto"/>
        </w:rPr>
      </w:pPr>
      <w:r>
        <w:rPr>
          <w:rFonts w:ascii="Times New Roman" w:cs="Times New Roman" w:eastAsia="Times New Roman" w:hAnsi="Times New Roman"/>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38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CONFERENCE CALL INFORMATION</w:t>
      </w:r>
    </w:p>
    <w:p>
      <w:pPr>
        <w:spacing w:after="0" w:line="224" w:lineRule="exact"/>
        <w:rPr>
          <w:sz w:val="20"/>
          <w:szCs w:val="20"/>
          <w:color w:val="auto"/>
        </w:rPr>
      </w:pPr>
    </w:p>
    <w:p>
      <w:pPr>
        <w:jc w:val="both"/>
        <w:ind w:right="80"/>
        <w:spacing w:after="0" w:line="257" w:lineRule="auto"/>
        <w:rPr>
          <w:sz w:val="20"/>
          <w:szCs w:val="20"/>
          <w:color w:val="auto"/>
        </w:rPr>
      </w:pPr>
      <w:r>
        <w:rPr>
          <w:rFonts w:ascii="Times New Roman" w:cs="Times New Roman" w:eastAsia="Times New Roman" w:hAnsi="Times New Roman"/>
          <w:sz w:val="18"/>
          <w:szCs w:val="18"/>
          <w:color w:val="auto"/>
        </w:rPr>
        <w:t xml:space="preserve">There will be a conference call to discuss the Bank’s quarterly results on Friday, February 12, 2021 at 11:00 a.m. New York City time (Eastern Time). For those interested in participating, please dial 1-877-271-1828 in the United States or, if outside the United States, 1-334-323-9871. Participants should use conference passcode 51834133, and dial in five minutes before the call is set to begin. There will also be a live audio webcast of the conference at </w:t>
      </w:r>
      <w:r>
        <w:rPr>
          <w:rFonts w:ascii="Times New Roman" w:cs="Times New Roman" w:eastAsia="Times New Roman" w:hAnsi="Times New Roman"/>
          <w:sz w:val="18"/>
          <w:szCs w:val="18"/>
          <w:u w:val="single" w:color="auto"/>
          <w:color w:val="auto"/>
        </w:rPr>
        <w:t>http://www.bladex.com</w:t>
      </w:r>
      <w:r>
        <w:rPr>
          <w:rFonts w:ascii="Times New Roman" w:cs="Times New Roman" w:eastAsia="Times New Roman" w:hAnsi="Times New Roman"/>
          <w:sz w:val="18"/>
          <w:szCs w:val="18"/>
          <w:color w:val="auto"/>
        </w:rPr>
        <w:t xml:space="preserve">. The webcast presentation will be available for viewing and downloads on </w:t>
      </w:r>
      <w:r>
        <w:rPr>
          <w:rFonts w:ascii="Times New Roman" w:cs="Times New Roman" w:eastAsia="Times New Roman" w:hAnsi="Times New Roman"/>
          <w:sz w:val="18"/>
          <w:szCs w:val="18"/>
          <w:u w:val="single" w:color="auto"/>
          <w:color w:val="auto"/>
        </w:rPr>
        <w:t>http://www.bladex.com</w:t>
      </w:r>
      <w:r>
        <w:rPr>
          <w:rFonts w:ascii="Times New Roman" w:cs="Times New Roman" w:eastAsia="Times New Roman" w:hAnsi="Times New Roman"/>
          <w:sz w:val="18"/>
          <w:szCs w:val="18"/>
          <w:color w:val="auto"/>
        </w:rPr>
        <w:t>.</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conference call will become available for review on Conference Replay one hour after its conclusion and will remain available for 60 days. Please dial</w:t>
      </w:r>
    </w:p>
    <w:p>
      <w:pPr>
        <w:spacing w:after="0" w:line="25" w:lineRule="exact"/>
        <w:rPr>
          <w:sz w:val="20"/>
          <w:szCs w:val="20"/>
          <w:color w:val="auto"/>
        </w:rPr>
      </w:pPr>
    </w:p>
    <w:p>
      <w:pPr>
        <w:ind w:right="4280" w:firstLine="7"/>
        <w:spacing w:after="0" w:line="484" w:lineRule="auto"/>
        <w:tabs>
          <w:tab w:leader="none" w:pos="43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919-4059 or (334) 323-0140 and follow the instructions. The replay passcode is: 17239100. For more information, please access </w:t>
      </w:r>
      <w:r>
        <w:rPr>
          <w:rFonts w:ascii="Times New Roman" w:cs="Times New Roman" w:eastAsia="Times New Roman" w:hAnsi="Times New Roman"/>
          <w:sz w:val="18"/>
          <w:szCs w:val="18"/>
          <w:u w:val="single" w:color="auto"/>
          <w:color w:val="auto"/>
        </w:rPr>
        <w:t>http://www.bladex.com</w:t>
      </w:r>
      <w:r>
        <w:rPr>
          <w:rFonts w:ascii="Times New Roman" w:cs="Times New Roman" w:eastAsia="Times New Roman" w:hAnsi="Times New Roman"/>
          <w:sz w:val="18"/>
          <w:szCs w:val="18"/>
          <w:color w:val="auto"/>
        </w:rPr>
        <w:t xml:space="preserve"> or contact:</w:t>
      </w:r>
    </w:p>
    <w:p>
      <w:pPr>
        <w:spacing w:after="0"/>
        <w:rPr>
          <w:sz w:val="20"/>
          <w:szCs w:val="20"/>
          <w:color w:val="auto"/>
        </w:rPr>
      </w:pPr>
      <w:r>
        <w:rPr>
          <w:rFonts w:ascii="Times New Roman" w:cs="Times New Roman" w:eastAsia="Times New Roman" w:hAnsi="Times New Roman"/>
          <w:sz w:val="18"/>
          <w:szCs w:val="18"/>
          <w:color w:val="auto"/>
        </w:rPr>
        <w:t>Mrs. Ana Graciela de Méndez</w:t>
      </w:r>
    </w:p>
    <w:p>
      <w:pPr>
        <w:spacing w:after="0" w:line="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Tel: +507 210-8563</w:t>
      </w:r>
    </w:p>
    <w:p>
      <w:pPr>
        <w:spacing w:after="0" w:line="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E-mail address: </w:t>
      </w:r>
      <w:r>
        <w:rPr>
          <w:rFonts w:ascii="Times New Roman" w:cs="Times New Roman" w:eastAsia="Times New Roman" w:hAnsi="Times New Roman"/>
          <w:sz w:val="18"/>
          <w:szCs w:val="18"/>
          <w:u w:val="single" w:color="auto"/>
          <w:color w:val="auto"/>
        </w:rPr>
        <w:t>amendez@bladex.com</w:t>
      </w:r>
    </w:p>
    <w:p>
      <w:pPr>
        <w:spacing w:after="0" w:line="200" w:lineRule="exact"/>
        <w:rPr>
          <w:sz w:val="20"/>
          <w:szCs w:val="20"/>
          <w:color w:val="auto"/>
        </w:rPr>
      </w:pPr>
    </w:p>
    <w:p>
      <w:pPr>
        <w:spacing w:after="0" w:line="21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91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9180"/>
                    </a:xfrm>
                    <a:prstGeom prst="rect">
                      <a:avLst/>
                    </a:prstGeom>
                    <a:noFill/>
                  </pic:spPr>
                </pic:pic>
              </a:graphicData>
            </a:graphic>
          </wp:anchor>
        </w:drawing>
        <w:drawing>
          <wp:anchor simplePos="0" relativeHeight="251657728" behindDoc="1" locked="0" layoutInCell="0" allowOverlap="1">
            <wp:simplePos x="0" y="0"/>
            <wp:positionH relativeFrom="page">
              <wp:posOffset>2605405</wp:posOffset>
            </wp:positionH>
            <wp:positionV relativeFrom="page">
              <wp:posOffset>5570855</wp:posOffset>
            </wp:positionV>
            <wp:extent cx="2364105" cy="15843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2364105" cy="1584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10040"/>
        <w:spacing w:after="0"/>
        <w:rPr>
          <w:sz w:val="20"/>
          <w:szCs w:val="20"/>
          <w:color w:val="auto"/>
        </w:rPr>
      </w:pPr>
      <w:r>
        <w:rPr>
          <w:rFonts w:ascii="Times New Roman" w:cs="Times New Roman" w:eastAsia="Times New Roman" w:hAnsi="Times New Roman"/>
          <w:sz w:val="16"/>
          <w:szCs w:val="16"/>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-706120</wp:posOffset>
            </wp:positionH>
            <wp:positionV relativeFrom="paragraph">
              <wp:posOffset>30480</wp:posOffset>
            </wp:positionV>
            <wp:extent cx="7134225"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sectPr>
      <w:pgSz w:w="11900" w:h="16838" w:orient="portrait"/>
      <w:cols w:equalWidth="0" w:num="1">
        <w:col w:w="10120"/>
      </w:cols>
      <w:pgMar w:left="144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1)"/>
      <w:numFmt w:val="decimal"/>
      <w:start w:val="1"/>
    </w:lvl>
  </w:abstractNum>
  <w:abstractNum w:abstractNumId="5">
    <w:nsid w:val="507ED7AB"/>
    <w:multiLevelType w:val="hybridMultilevel"/>
    <w:lvl w:ilvl="0">
      <w:lvlJc w:val="left"/>
      <w:lvlText w:val="(%1)"/>
      <w:numFmt w:val="decimal"/>
      <w:start w:val="877"/>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jpe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2021-02-12T13:12:48Z</dcterms:created>
  <dcterms:modified xsi:type="dcterms:W3CDTF">2021-02-12T13:12:48Z</dcterms:modified>
</cp:coreProperties>
</file>